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B" w:rsidRPr="000B1669" w:rsidRDefault="00B503FB" w:rsidP="004A20D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F81BD" w:themeColor="accent1"/>
          <w:sz w:val="18"/>
          <w:szCs w:val="18"/>
        </w:rPr>
      </w:pPr>
      <w:bookmarkStart w:id="0" w:name="_GoBack"/>
      <w:bookmarkEnd w:id="0"/>
    </w:p>
    <w:p w:rsidR="0098177C" w:rsidRPr="008324B8" w:rsidRDefault="0098177C" w:rsidP="004A20D5">
      <w:pPr>
        <w:spacing w:before="100" w:beforeAutospacing="1" w:after="100" w:afterAutospacing="1" w:line="240" w:lineRule="auto"/>
        <w:outlineLvl w:val="1"/>
        <w:rPr>
          <w:rFonts w:eastAsia="Times New Roman"/>
          <w:color w:val="92D050"/>
        </w:rPr>
      </w:pPr>
      <w:r w:rsidRPr="004A20D5">
        <w:rPr>
          <w:rFonts w:eastAsia="Times New Roman" w:cstheme="minorHAnsi"/>
          <w:b/>
          <w:bCs/>
          <w:color w:val="4F81BD" w:themeColor="accent1"/>
          <w:sz w:val="32"/>
          <w:szCs w:val="32"/>
        </w:rPr>
        <w:t xml:space="preserve">Quality </w:t>
      </w:r>
      <w:r w:rsidR="004C01DD" w:rsidRPr="004A20D5">
        <w:rPr>
          <w:rFonts w:eastAsia="Times New Roman" w:cstheme="minorHAnsi"/>
          <w:b/>
          <w:bCs/>
          <w:color w:val="4F81BD" w:themeColor="accent1"/>
          <w:sz w:val="32"/>
          <w:szCs w:val="32"/>
        </w:rPr>
        <w:t>framework</w:t>
      </w:r>
      <w:r w:rsidR="004A20D5" w:rsidRPr="004A20D5">
        <w:rPr>
          <w:rFonts w:eastAsia="Times New Roman" w:cstheme="minorHAnsi"/>
          <w:b/>
          <w:bCs/>
          <w:color w:val="4F81BD" w:themeColor="accent1"/>
          <w:sz w:val="32"/>
          <w:szCs w:val="32"/>
        </w:rPr>
        <w:t>:</w:t>
      </w:r>
      <w:r w:rsidR="004A20D5">
        <w:rPr>
          <w:rFonts w:eastAsia="Times New Roman" w:cstheme="minorHAnsi"/>
          <w:b/>
          <w:bCs/>
          <w:color w:val="4F81BD" w:themeColor="accent1"/>
          <w:sz w:val="36"/>
          <w:szCs w:val="36"/>
        </w:rPr>
        <w:t xml:space="preserve"> </w:t>
      </w:r>
      <w:r w:rsidRPr="004A20D5">
        <w:rPr>
          <w:rFonts w:eastAsia="Times New Roman"/>
          <w:b/>
          <w:i/>
          <w:color w:val="92D050"/>
          <w:sz w:val="24"/>
          <w:szCs w:val="24"/>
        </w:rPr>
        <w:t xml:space="preserve">Best practices </w:t>
      </w:r>
      <w:r w:rsidR="00B652C8">
        <w:rPr>
          <w:rFonts w:eastAsia="Times New Roman"/>
          <w:b/>
          <w:i/>
          <w:color w:val="92D050"/>
          <w:sz w:val="24"/>
          <w:szCs w:val="24"/>
        </w:rPr>
        <w:t xml:space="preserve">criteria </w:t>
      </w:r>
      <w:r w:rsidRPr="004A20D5">
        <w:rPr>
          <w:rFonts w:eastAsia="Times New Roman"/>
          <w:b/>
          <w:i/>
          <w:color w:val="92D050"/>
          <w:sz w:val="24"/>
          <w:szCs w:val="24"/>
        </w:rPr>
        <w:t>for online and blended delivery</w:t>
      </w:r>
      <w:r w:rsidRPr="004A20D5">
        <w:rPr>
          <w:rFonts w:eastAsia="Times New Roman"/>
          <w:color w:val="92D050"/>
          <w:sz w:val="24"/>
          <w:szCs w:val="24"/>
        </w:rPr>
        <w:t xml:space="preserve"> </w:t>
      </w:r>
    </w:p>
    <w:p w:rsidR="007034A1" w:rsidRPr="000B1669" w:rsidRDefault="00E01139" w:rsidP="00497DD1">
      <w:p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 xml:space="preserve">What does a high quality online course look like? </w:t>
      </w:r>
      <w:r w:rsidR="008C24B2" w:rsidRPr="000B1669">
        <w:rPr>
          <w:rFonts w:eastAsia="Times New Roman" w:cstheme="minorHAnsi"/>
        </w:rPr>
        <w:t>COL</w:t>
      </w:r>
      <w:r w:rsidR="0098177C" w:rsidRPr="000B1669">
        <w:rPr>
          <w:rFonts w:eastAsia="Times New Roman" w:cstheme="minorHAnsi"/>
        </w:rPr>
        <w:t xml:space="preserve"> has </w:t>
      </w:r>
      <w:r w:rsidR="008C24B2" w:rsidRPr="000B1669">
        <w:rPr>
          <w:rFonts w:eastAsia="Times New Roman" w:cstheme="minorHAnsi"/>
        </w:rPr>
        <w:t>endorsed</w:t>
      </w:r>
      <w:r w:rsidR="0098177C" w:rsidRPr="000B1669">
        <w:rPr>
          <w:rFonts w:eastAsia="Times New Roman" w:cstheme="minorHAnsi"/>
        </w:rPr>
        <w:t xml:space="preserve"> a set of best practices </w:t>
      </w:r>
      <w:r w:rsidR="008C24B2" w:rsidRPr="000B1669">
        <w:rPr>
          <w:rFonts w:eastAsia="Times New Roman" w:cstheme="minorHAnsi"/>
        </w:rPr>
        <w:t xml:space="preserve">to guide </w:t>
      </w:r>
      <w:r w:rsidR="0098177C" w:rsidRPr="000B1669">
        <w:rPr>
          <w:rFonts w:eastAsia="Times New Roman" w:cstheme="minorHAnsi"/>
        </w:rPr>
        <w:t xml:space="preserve">online and blended course </w:t>
      </w:r>
      <w:r w:rsidR="008C24B2" w:rsidRPr="000B1669">
        <w:rPr>
          <w:rFonts w:eastAsia="Times New Roman" w:cstheme="minorHAnsi"/>
        </w:rPr>
        <w:t>design</w:t>
      </w:r>
      <w:r w:rsidR="00B503FB" w:rsidRPr="000B1669">
        <w:rPr>
          <w:rFonts w:eastAsia="Times New Roman" w:cstheme="minorHAnsi"/>
        </w:rPr>
        <w:t xml:space="preserve"> and implementation</w:t>
      </w:r>
      <w:r w:rsidR="0098177C" w:rsidRPr="000B1669">
        <w:rPr>
          <w:rFonts w:eastAsia="Times New Roman" w:cstheme="minorHAnsi"/>
        </w:rPr>
        <w:t xml:space="preserve">. </w:t>
      </w:r>
      <w:r w:rsidR="008C24B2" w:rsidRPr="000B1669">
        <w:rPr>
          <w:rFonts w:eastAsia="Times New Roman" w:cstheme="minorHAnsi"/>
        </w:rPr>
        <w:t>T</w:t>
      </w:r>
      <w:r w:rsidR="007034A1" w:rsidRPr="000B1669">
        <w:rPr>
          <w:rFonts w:eastAsia="Times New Roman" w:cstheme="minorHAnsi"/>
        </w:rPr>
        <w:t>h</w:t>
      </w:r>
      <w:r w:rsidR="0098177C" w:rsidRPr="000B1669">
        <w:rPr>
          <w:rFonts w:eastAsia="Times New Roman" w:cstheme="minorHAnsi"/>
        </w:rPr>
        <w:t>ese</w:t>
      </w:r>
      <w:r w:rsidR="007034A1" w:rsidRPr="000B1669">
        <w:rPr>
          <w:rFonts w:eastAsia="Times New Roman" w:cstheme="minorHAnsi"/>
        </w:rPr>
        <w:t xml:space="preserve"> </w:t>
      </w:r>
      <w:r w:rsidR="0098177C" w:rsidRPr="000B1669">
        <w:rPr>
          <w:rFonts w:eastAsia="Times New Roman" w:cstheme="minorHAnsi"/>
        </w:rPr>
        <w:t>best practices aim</w:t>
      </w:r>
      <w:r w:rsidR="007034A1" w:rsidRPr="000B1669">
        <w:rPr>
          <w:rFonts w:eastAsia="Times New Roman" w:cstheme="minorHAnsi"/>
        </w:rPr>
        <w:t xml:space="preserve"> to create awareness to the different components</w:t>
      </w:r>
      <w:r w:rsidR="00B503FB" w:rsidRPr="000B1669">
        <w:rPr>
          <w:rFonts w:eastAsia="Times New Roman" w:cstheme="minorHAnsi"/>
        </w:rPr>
        <w:t xml:space="preserve"> and criteria</w:t>
      </w:r>
      <w:r w:rsidR="007034A1" w:rsidRPr="000B1669">
        <w:rPr>
          <w:rFonts w:eastAsia="Times New Roman" w:cstheme="minorHAnsi"/>
        </w:rPr>
        <w:t xml:space="preserve"> that </w:t>
      </w:r>
      <w:r w:rsidR="00426C37" w:rsidRPr="000B1669">
        <w:rPr>
          <w:rFonts w:eastAsia="Times New Roman" w:cstheme="minorHAnsi"/>
        </w:rPr>
        <w:t>affect</w:t>
      </w:r>
      <w:r w:rsidR="008C24B2" w:rsidRPr="000B1669">
        <w:rPr>
          <w:rFonts w:eastAsia="Times New Roman" w:cstheme="minorHAnsi"/>
        </w:rPr>
        <w:t xml:space="preserve"> quality online teaching and learning:</w:t>
      </w:r>
    </w:p>
    <w:p w:rsidR="007034A1" w:rsidRPr="000B1669" w:rsidRDefault="007034A1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Learner Support and Resources</w:t>
      </w:r>
    </w:p>
    <w:p w:rsidR="007034A1" w:rsidRPr="000B1669" w:rsidRDefault="007034A1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 xml:space="preserve">Instructional Design </w:t>
      </w:r>
    </w:p>
    <w:p w:rsidR="008C24B2" w:rsidRPr="000B1669" w:rsidRDefault="008C24B2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Online Organization and Design</w:t>
      </w:r>
    </w:p>
    <w:p w:rsidR="007034A1" w:rsidRPr="000B1669" w:rsidRDefault="007034A1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Innovative Teaching with Technology</w:t>
      </w:r>
    </w:p>
    <w:p w:rsidR="007034A1" w:rsidRPr="000B1669" w:rsidRDefault="007034A1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Assessment and Evaluation of Learning</w:t>
      </w:r>
    </w:p>
    <w:p w:rsidR="007034A1" w:rsidRPr="000B1669" w:rsidRDefault="000D1613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Learner</w:t>
      </w:r>
      <w:r w:rsidR="007034A1" w:rsidRPr="000B1669">
        <w:rPr>
          <w:rFonts w:eastAsia="Times New Roman" w:cstheme="minorHAnsi"/>
        </w:rPr>
        <w:t xml:space="preserve"> Feedback</w:t>
      </w:r>
    </w:p>
    <w:p w:rsidR="00E01139" w:rsidRPr="000B1669" w:rsidRDefault="00E01139" w:rsidP="00B503FB">
      <w:pPr>
        <w:pStyle w:val="Heading2"/>
        <w:ind w:left="270"/>
        <w:rPr>
          <w:rFonts w:asciiTheme="minorHAnsi" w:hAnsiTheme="minorHAnsi" w:cstheme="minorHAnsi"/>
          <w:color w:val="4F81BD" w:themeColor="accent1"/>
          <w:sz w:val="18"/>
          <w:szCs w:val="18"/>
        </w:rPr>
      </w:pPr>
    </w:p>
    <w:tbl>
      <w:tblPr>
        <w:tblW w:w="4962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74"/>
      </w:tblGrid>
      <w:tr w:rsidR="00244F77" w:rsidRPr="009A4DC7" w:rsidTr="000B1669">
        <w:trPr>
          <w:tblCellSpacing w:w="37" w:type="dxa"/>
        </w:trPr>
        <w:tc>
          <w:tcPr>
            <w:tcW w:w="4924" w:type="pct"/>
            <w:shd w:val="clear" w:color="auto" w:fill="76923C" w:themeFill="accent3" w:themeFillShade="BF"/>
            <w:vAlign w:val="center"/>
            <w:hideMark/>
          </w:tcPr>
          <w:p w:rsidR="00244F77" w:rsidRPr="00D81083" w:rsidRDefault="00B503FB" w:rsidP="00B3312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Best Practices Criteria: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Learner Support and Resources</w:t>
            </w:r>
          </w:p>
        </w:tc>
      </w:tr>
      <w:tr w:rsidR="00244F77" w:rsidRPr="009A4DC7" w:rsidTr="000B1669">
        <w:trPr>
          <w:tblCellSpacing w:w="37" w:type="dxa"/>
        </w:trPr>
        <w:tc>
          <w:tcPr>
            <w:tcW w:w="4924" w:type="pct"/>
            <w:vAlign w:val="center"/>
            <w:hideMark/>
          </w:tcPr>
          <w:p w:rsidR="00244F77" w:rsidRPr="000B1669" w:rsidRDefault="00244F77" w:rsidP="00BD2ACA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Course contains 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detailed information for </w:t>
            </w:r>
            <w:r w:rsidR="00376F3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online learner support 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and links to campus resources.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75156" w:rsidRPr="000B1669">
              <w:rPr>
                <w:rFonts w:asciiTheme="minorHAnsi" w:hAnsiTheme="minorHAnsi" w:cstheme="minorHAnsi"/>
                <w:sz w:val="22"/>
                <w:szCs w:val="22"/>
              </w:rPr>
              <w:t>i.e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. techhelp contact info (email, tel.), links to </w:t>
            </w:r>
            <w:r w:rsidR="0019542C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institutional 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>library, to student services</w:t>
            </w:r>
            <w:r w:rsidR="0019542C" w:rsidRPr="000B1669">
              <w:rPr>
                <w:rFonts w:asciiTheme="minorHAnsi" w:hAnsiTheme="minorHAnsi" w:cstheme="minorHAnsi"/>
                <w:sz w:val="22"/>
                <w:szCs w:val="22"/>
              </w:rPr>
              <w:t>, etc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878F0" w:rsidRPr="000B1669">
              <w:rPr>
                <w:rFonts w:asciiTheme="minorHAnsi" w:hAnsiTheme="minorHAnsi" w:cstheme="minorHAnsi"/>
                <w:i/>
                <w:sz w:val="22"/>
                <w:szCs w:val="22"/>
              </w:rPr>
              <w:t>Include detailed description of available learner support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  </w:t>
            </w:r>
          </w:p>
          <w:p w:rsidR="00244F77" w:rsidRPr="000B1669" w:rsidRDefault="00244F77" w:rsidP="00244F77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Course provides a variety of course-specific resources</w:t>
            </w:r>
            <w:r w:rsidR="0019542C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(i.e. requisites and pre-requisites, minimum technical skills, explanation of course communication tools, detailed course schedule)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, contact information for instructor, department and program</w:t>
            </w:r>
            <w:r w:rsidR="00376F3B" w:rsidRPr="000B1669">
              <w:rPr>
                <w:rFonts w:asciiTheme="minorHAnsi" w:hAnsiTheme="minorHAnsi" w:cstheme="minorHAnsi"/>
                <w:sz w:val="22"/>
                <w:szCs w:val="22"/>
              </w:rPr>
              <w:t>, including response turnaround times for questions, instructor feedback, marking and discussion postings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44F77" w:rsidRPr="000B1669" w:rsidRDefault="00244F77" w:rsidP="00244F77">
            <w:pPr>
              <w:pStyle w:val="NormalWeb"/>
              <w:spacing w:before="0" w:beforeAutospacing="0" w:after="0" w:afterAutospacing="0"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F77" w:rsidRPr="000B1669" w:rsidRDefault="00244F77" w:rsidP="00244F77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Course includes an introductory section that clearly orients learners to how the course is structured and to what is expected of learners. </w:t>
            </w:r>
          </w:p>
          <w:p w:rsidR="00244F77" w:rsidRPr="000B1669" w:rsidRDefault="00244F77" w:rsidP="00244F77">
            <w:pPr>
              <w:pStyle w:val="NormalWeb"/>
              <w:spacing w:before="0" w:beforeAutospacing="0" w:after="0" w:afterAutospacing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542C" w:rsidRPr="000B1669" w:rsidRDefault="00244F77" w:rsidP="0019542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Course offers access to a wide range of resources supporting course content</w:t>
            </w:r>
            <w:r w:rsidR="0019542C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(links to journal articles, relevant videos, open textbooks, etc.)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9542C" w:rsidRPr="000B1669" w:rsidRDefault="0019542C" w:rsidP="0019542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542C" w:rsidRPr="00256F8F" w:rsidRDefault="0019542C" w:rsidP="0019542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3"/>
              <w:rPr>
                <w:rFonts w:asciiTheme="minorHAnsi" w:hAnsiTheme="minorHAnsi" w:cstheme="minorHAnsi"/>
              </w:rPr>
            </w:pPr>
            <w:r w:rsidRPr="000B1669">
              <w:rPr>
                <w:rFonts w:asciiTheme="minorHAnsi" w:hAnsiTheme="minorHAnsi" w:cstheme="minorHAnsi"/>
                <w:b/>
                <w:sz w:val="22"/>
                <w:szCs w:val="22"/>
              </w:rPr>
              <w:t>Blended courses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include a clear explanation about the relationship between face-to-face (f2f) and online components.</w:t>
            </w:r>
          </w:p>
        </w:tc>
      </w:tr>
    </w:tbl>
    <w:p w:rsidR="00B652C8" w:rsidRDefault="00B652C8" w:rsidP="00B503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F81BD" w:themeColor="accent1"/>
          <w:sz w:val="32"/>
          <w:szCs w:val="32"/>
        </w:rPr>
      </w:pPr>
    </w:p>
    <w:p w:rsidR="000B1669" w:rsidRPr="004A20D5" w:rsidRDefault="000B1669" w:rsidP="00B503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F81BD" w:themeColor="accent1"/>
          <w:sz w:val="32"/>
          <w:szCs w:val="32"/>
        </w:rPr>
      </w:pPr>
    </w:p>
    <w:tbl>
      <w:tblPr>
        <w:tblW w:w="4962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74"/>
      </w:tblGrid>
      <w:tr w:rsidR="00256F8F" w:rsidRPr="00E01139" w:rsidTr="000B1669">
        <w:trPr>
          <w:tblCellSpacing w:w="37" w:type="dxa"/>
        </w:trPr>
        <w:tc>
          <w:tcPr>
            <w:tcW w:w="4924" w:type="pct"/>
            <w:shd w:val="clear" w:color="auto" w:fill="76923C" w:themeFill="accent3" w:themeFillShade="BF"/>
            <w:vAlign w:val="center"/>
            <w:hideMark/>
          </w:tcPr>
          <w:p w:rsidR="00256F8F" w:rsidRPr="00D81083" w:rsidRDefault="00B503FB" w:rsidP="00E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Best Practices Criteria: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Instructional Design</w:t>
            </w:r>
          </w:p>
        </w:tc>
      </w:tr>
      <w:tr w:rsidR="00256F8F" w:rsidRPr="00E01139" w:rsidTr="000B1669">
        <w:trPr>
          <w:tblCellSpacing w:w="37" w:type="dxa"/>
        </w:trPr>
        <w:tc>
          <w:tcPr>
            <w:tcW w:w="4924" w:type="pct"/>
            <w:hideMark/>
          </w:tcPr>
          <w:p w:rsidR="00256F8F" w:rsidRPr="000B1669" w:rsidRDefault="00256F8F" w:rsidP="00A40DFD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68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Course offers opportunities for interaction </w:t>
            </w:r>
            <w:r w:rsidR="00835335" w:rsidRPr="000B1669">
              <w:rPr>
                <w:rFonts w:eastAsia="Times New Roman" w:cstheme="minorHAnsi"/>
              </w:rPr>
              <w:t xml:space="preserve">and learner engagement through appropriate and accessible communications strategies. </w:t>
            </w:r>
            <w:r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256F8F" w:rsidRPr="000B1669" w:rsidRDefault="00256F8F" w:rsidP="00256F8F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after="0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>Cours</w:t>
            </w:r>
            <w:r w:rsidR="008324B8" w:rsidRPr="000B1669">
              <w:rPr>
                <w:rFonts w:eastAsia="Times New Roman" w:cstheme="minorHAnsi"/>
              </w:rPr>
              <w:t xml:space="preserve">e goals are clearly defined and learning objectives throughout the course are aligned with the course goals. </w:t>
            </w:r>
          </w:p>
          <w:p w:rsidR="00256F8F" w:rsidRPr="000B1669" w:rsidRDefault="00256F8F" w:rsidP="00256F8F">
            <w:pPr>
              <w:spacing w:after="0" w:line="240" w:lineRule="auto"/>
              <w:ind w:left="374"/>
              <w:rPr>
                <w:rFonts w:eastAsia="Times New Roman" w:cstheme="minorHAnsi"/>
              </w:rPr>
            </w:pPr>
          </w:p>
          <w:p w:rsidR="000D1613" w:rsidRPr="000B1669" w:rsidRDefault="00256F8F" w:rsidP="000D1613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after="240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Learning objectives are identified </w:t>
            </w:r>
            <w:r w:rsidR="008324B8" w:rsidRPr="000B1669">
              <w:rPr>
                <w:rFonts w:eastAsia="Times New Roman" w:cstheme="minorHAnsi"/>
              </w:rPr>
              <w:t>at the appropriate level for the course. L</w:t>
            </w:r>
            <w:r w:rsidRPr="000B1669">
              <w:rPr>
                <w:rFonts w:eastAsia="Times New Roman" w:cstheme="minorHAnsi"/>
              </w:rPr>
              <w:t>earning activities</w:t>
            </w:r>
            <w:r w:rsidR="008324B8" w:rsidRPr="000B1669">
              <w:rPr>
                <w:rFonts w:eastAsia="Times New Roman" w:cstheme="minorHAnsi"/>
              </w:rPr>
              <w:t xml:space="preserve"> and assessment </w:t>
            </w:r>
            <w:r w:rsidRPr="000B1669">
              <w:rPr>
                <w:rFonts w:eastAsia="Times New Roman" w:cstheme="minorHAnsi"/>
              </w:rPr>
              <w:t>are clearly integrated</w:t>
            </w:r>
            <w:r w:rsidR="008324B8" w:rsidRPr="000B1669">
              <w:rPr>
                <w:rFonts w:eastAsia="Times New Roman" w:cstheme="minorHAnsi"/>
              </w:rPr>
              <w:t xml:space="preserve"> and aligned with the learning objectives</w:t>
            </w:r>
            <w:r w:rsidRPr="000B1669">
              <w:rPr>
                <w:rFonts w:eastAsia="Times New Roman" w:cstheme="minorHAnsi"/>
              </w:rPr>
              <w:t>.</w:t>
            </w:r>
            <w:r w:rsidR="000D1613" w:rsidRPr="000B1669">
              <w:rPr>
                <w:rFonts w:eastAsia="Times New Roman" w:cstheme="minorHAnsi"/>
              </w:rPr>
              <w:t xml:space="preserve"> </w:t>
            </w:r>
          </w:p>
          <w:p w:rsidR="00256F8F" w:rsidRPr="000B1669" w:rsidRDefault="007B7AE7" w:rsidP="00FC78D7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after="0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Course provides </w:t>
            </w:r>
            <w:r w:rsidR="002D5052" w:rsidRPr="000B1669">
              <w:rPr>
                <w:rFonts w:eastAsia="Times New Roman" w:cstheme="minorHAnsi"/>
              </w:rPr>
              <w:t xml:space="preserve">a variety of </w:t>
            </w:r>
            <w:r w:rsidRPr="000B1669">
              <w:rPr>
                <w:rFonts w:eastAsia="Times New Roman" w:cstheme="minorHAnsi"/>
              </w:rPr>
              <w:t>appropriate l</w:t>
            </w:r>
            <w:r w:rsidR="000D1613" w:rsidRPr="000B1669">
              <w:rPr>
                <w:rFonts w:eastAsia="Times New Roman" w:cstheme="minorHAnsi"/>
              </w:rPr>
              <w:t xml:space="preserve">earning activities </w:t>
            </w:r>
            <w:r w:rsidRPr="000B1669">
              <w:rPr>
                <w:rFonts w:eastAsia="Times New Roman" w:cstheme="minorHAnsi"/>
              </w:rPr>
              <w:t xml:space="preserve">that </w:t>
            </w:r>
            <w:r w:rsidR="000D1613" w:rsidRPr="000B1669">
              <w:rPr>
                <w:rFonts w:eastAsia="Times New Roman" w:cstheme="minorHAnsi"/>
              </w:rPr>
              <w:t>are meaningful, relevant and contextual to learners.</w:t>
            </w:r>
            <w:r w:rsidR="00256F8F" w:rsidRPr="000B1669">
              <w:rPr>
                <w:rFonts w:eastAsia="Times New Roman" w:cstheme="minorHAnsi"/>
              </w:rPr>
              <w:br/>
              <w:t xml:space="preserve"> </w:t>
            </w:r>
          </w:p>
          <w:p w:rsidR="00256F8F" w:rsidRPr="00E01139" w:rsidRDefault="00256F8F" w:rsidP="000D1613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after="0" w:line="240" w:lineRule="auto"/>
              <w:ind w:left="374"/>
              <w:rPr>
                <w:rFonts w:eastAsia="Times New Roman" w:cstheme="minorHAnsi"/>
                <w:sz w:val="24"/>
                <w:szCs w:val="24"/>
              </w:rPr>
            </w:pPr>
            <w:r w:rsidRPr="000B1669">
              <w:rPr>
                <w:rFonts w:eastAsia="Times New Roman" w:cstheme="minorHAnsi"/>
              </w:rPr>
              <w:t xml:space="preserve">Course provides activities to help </w:t>
            </w:r>
            <w:r w:rsidR="000D1613" w:rsidRPr="000B1669">
              <w:rPr>
                <w:rFonts w:eastAsia="Times New Roman" w:cstheme="minorHAnsi"/>
              </w:rPr>
              <w:t>learners</w:t>
            </w:r>
            <w:r w:rsidR="008324B8" w:rsidRPr="000B1669">
              <w:rPr>
                <w:rFonts w:eastAsia="Times New Roman" w:cstheme="minorHAnsi"/>
              </w:rPr>
              <w:t xml:space="preserve"> develop critical thinking / problem</w:t>
            </w:r>
            <w:r w:rsidRPr="000B1669">
              <w:rPr>
                <w:rFonts w:eastAsia="Times New Roman" w:cstheme="minorHAnsi"/>
              </w:rPr>
              <w:t>-solving skills.</w:t>
            </w:r>
            <w:r w:rsidRPr="00E011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:rsidR="000B1669" w:rsidRPr="00244F77" w:rsidRDefault="000B1669" w:rsidP="000B16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4986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21"/>
      </w:tblGrid>
      <w:tr w:rsidR="00B3312C" w:rsidRPr="00E01139" w:rsidTr="000B1669">
        <w:trPr>
          <w:tblCellSpacing w:w="37" w:type="dxa"/>
        </w:trPr>
        <w:tc>
          <w:tcPr>
            <w:tcW w:w="4924" w:type="pct"/>
            <w:shd w:val="clear" w:color="auto" w:fill="76923C" w:themeFill="accent3" w:themeFillShade="BF"/>
            <w:vAlign w:val="center"/>
            <w:hideMark/>
          </w:tcPr>
          <w:p w:rsidR="00B3312C" w:rsidRPr="00D81083" w:rsidRDefault="00B503FB" w:rsidP="00E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Best Practices Criteria: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Innovative Teaching with Technology</w:t>
            </w:r>
          </w:p>
        </w:tc>
      </w:tr>
      <w:tr w:rsidR="00B3312C" w:rsidRPr="00E01139" w:rsidTr="000B1669">
        <w:trPr>
          <w:tblCellSpacing w:w="37" w:type="dxa"/>
        </w:trPr>
        <w:tc>
          <w:tcPr>
            <w:tcW w:w="4924" w:type="pct"/>
            <w:hideMark/>
          </w:tcPr>
          <w:p w:rsidR="00B3312C" w:rsidRPr="000B1669" w:rsidRDefault="00B3312C" w:rsidP="000B1669">
            <w:pPr>
              <w:numPr>
                <w:ilvl w:val="0"/>
                <w:numId w:val="9"/>
              </w:numPr>
              <w:tabs>
                <w:tab w:val="clear" w:pos="720"/>
                <w:tab w:val="num" w:pos="346"/>
              </w:tabs>
              <w:spacing w:before="100" w:beforeAutospacing="1" w:after="100" w:afterAutospacing="1" w:line="240" w:lineRule="auto"/>
              <w:ind w:left="346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Course uses a variety of tools to appropriately facilitate </w:t>
            </w:r>
            <w:r w:rsidR="00AD407B" w:rsidRPr="000B1669">
              <w:rPr>
                <w:rFonts w:eastAsia="Times New Roman" w:cstheme="minorHAnsi"/>
              </w:rPr>
              <w:t>different types of interaction (learner/learner, learner/instructor, learner/content)</w:t>
            </w:r>
            <w:r w:rsidRPr="000B1669">
              <w:rPr>
                <w:rFonts w:eastAsia="Times New Roman" w:cstheme="minorHAnsi"/>
              </w:rPr>
              <w:t xml:space="preserve"> and </w:t>
            </w:r>
            <w:r w:rsidR="008B5F75" w:rsidRPr="000B1669">
              <w:rPr>
                <w:rFonts w:eastAsia="Times New Roman" w:cstheme="minorHAnsi"/>
              </w:rPr>
              <w:t xml:space="preserve">support </w:t>
            </w:r>
            <w:r w:rsidRPr="000B1669">
              <w:rPr>
                <w:rFonts w:eastAsia="Times New Roman" w:cstheme="minorHAnsi"/>
              </w:rPr>
              <w:t>learning</w:t>
            </w:r>
            <w:r w:rsidR="008B5F75" w:rsidRPr="000B1669">
              <w:rPr>
                <w:rFonts w:eastAsia="Times New Roman" w:cstheme="minorHAnsi"/>
              </w:rPr>
              <w:t xml:space="preserve"> activities</w:t>
            </w:r>
            <w:r w:rsidR="00AD407B" w:rsidRPr="000B1669">
              <w:rPr>
                <w:rFonts w:eastAsia="Times New Roman" w:cstheme="minorHAnsi"/>
              </w:rPr>
              <w:t>.</w:t>
            </w:r>
            <w:r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B3312C" w:rsidRPr="000B1669" w:rsidRDefault="008B5F75" w:rsidP="000B1669">
            <w:pPr>
              <w:numPr>
                <w:ilvl w:val="0"/>
                <w:numId w:val="9"/>
              </w:numPr>
              <w:tabs>
                <w:tab w:val="clear" w:pos="720"/>
                <w:tab w:val="num" w:pos="346"/>
              </w:tabs>
              <w:spacing w:before="100" w:beforeAutospacing="1" w:after="100" w:afterAutospacing="1" w:line="240" w:lineRule="auto"/>
              <w:ind w:left="346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Innovative </w:t>
            </w:r>
            <w:r w:rsidR="00B3312C" w:rsidRPr="000B1669">
              <w:rPr>
                <w:rFonts w:eastAsia="Times New Roman" w:cstheme="minorHAnsi"/>
              </w:rPr>
              <w:t xml:space="preserve">teaching methods are applied </w:t>
            </w:r>
            <w:r w:rsidRPr="000B1669">
              <w:rPr>
                <w:rFonts w:eastAsia="Times New Roman" w:cstheme="minorHAnsi"/>
              </w:rPr>
              <w:t>to</w:t>
            </w:r>
            <w:r w:rsidR="00B3312C" w:rsidRPr="000B1669">
              <w:rPr>
                <w:rFonts w:eastAsia="Times New Roman" w:cstheme="minorHAnsi"/>
              </w:rPr>
              <w:t xml:space="preserve"> enhance learning, and interactively engage </w:t>
            </w:r>
            <w:r w:rsidR="000D1613" w:rsidRPr="000B1669">
              <w:rPr>
                <w:rFonts w:eastAsia="Times New Roman" w:cstheme="minorHAnsi"/>
              </w:rPr>
              <w:t>learners</w:t>
            </w:r>
            <w:r w:rsidR="00B3312C" w:rsidRPr="000B1669">
              <w:rPr>
                <w:rFonts w:eastAsia="Times New Roman" w:cstheme="minorHAnsi"/>
              </w:rPr>
              <w:t>.</w:t>
            </w:r>
            <w:r w:rsidR="00B3312C" w:rsidRPr="000B1669">
              <w:rPr>
                <w:rFonts w:eastAsia="Times New Roman" w:cstheme="minorHAnsi"/>
              </w:rPr>
              <w:br/>
              <w:t xml:space="preserve">   </w:t>
            </w:r>
          </w:p>
          <w:p w:rsidR="00B3312C" w:rsidRPr="00D81083" w:rsidRDefault="00B3312C" w:rsidP="000B1669">
            <w:pPr>
              <w:numPr>
                <w:ilvl w:val="0"/>
                <w:numId w:val="9"/>
              </w:numPr>
              <w:tabs>
                <w:tab w:val="clear" w:pos="720"/>
                <w:tab w:val="num" w:pos="346"/>
              </w:tabs>
              <w:spacing w:after="0" w:line="240" w:lineRule="auto"/>
              <w:ind w:left="346"/>
              <w:rPr>
                <w:rFonts w:eastAsia="Times New Roman" w:cstheme="minorHAnsi"/>
                <w:sz w:val="24"/>
                <w:szCs w:val="24"/>
              </w:rPr>
            </w:pPr>
            <w:r w:rsidRPr="000B1669">
              <w:rPr>
                <w:rFonts w:eastAsia="Times New Roman" w:cstheme="minorHAnsi"/>
              </w:rPr>
              <w:t xml:space="preserve">Course optimizes </w:t>
            </w:r>
            <w:r w:rsidR="00930FD2" w:rsidRPr="000B1669">
              <w:rPr>
                <w:rFonts w:eastAsia="Times New Roman" w:cstheme="minorHAnsi"/>
              </w:rPr>
              <w:t xml:space="preserve">the use of technology to effectively </w:t>
            </w:r>
            <w:r w:rsidRPr="000B1669">
              <w:rPr>
                <w:rFonts w:eastAsia="Times New Roman" w:cstheme="minorHAnsi"/>
              </w:rPr>
              <w:t xml:space="preserve">engage </w:t>
            </w:r>
            <w:r w:rsidR="000D1613" w:rsidRPr="000B1669">
              <w:rPr>
                <w:rFonts w:eastAsia="Times New Roman" w:cstheme="minorHAnsi"/>
              </w:rPr>
              <w:t>learner</w:t>
            </w:r>
            <w:r w:rsidR="00B652C8" w:rsidRPr="000B1669">
              <w:rPr>
                <w:rFonts w:eastAsia="Times New Roman" w:cstheme="minorHAnsi"/>
              </w:rPr>
              <w:t>s</w:t>
            </w:r>
            <w:r w:rsidRPr="000B1669">
              <w:rPr>
                <w:rFonts w:eastAsia="Times New Roman" w:cstheme="minorHAnsi"/>
              </w:rPr>
              <w:t xml:space="preserve"> in the learning process.</w:t>
            </w:r>
            <w:r w:rsidRPr="00E011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:rsidR="008A2BCD" w:rsidRPr="006423E9" w:rsidRDefault="008A2BCD" w:rsidP="006423E9">
      <w:pPr>
        <w:spacing w:after="0" w:line="240" w:lineRule="auto"/>
        <w:outlineLvl w:val="1"/>
        <w:rPr>
          <w:rFonts w:eastAsia="Times New Roman" w:cstheme="minorHAnsi"/>
          <w:b/>
          <w:bCs/>
        </w:rPr>
      </w:pPr>
    </w:p>
    <w:tbl>
      <w:tblPr>
        <w:tblW w:w="5000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2"/>
        <w:gridCol w:w="116"/>
      </w:tblGrid>
      <w:tr w:rsidR="006423E9" w:rsidRPr="009A4DC7" w:rsidTr="000B1669">
        <w:trPr>
          <w:gridAfter w:val="1"/>
          <w:wAfter w:w="5" w:type="dxa"/>
          <w:tblCellSpacing w:w="37" w:type="dxa"/>
        </w:trPr>
        <w:tc>
          <w:tcPr>
            <w:tcW w:w="4929" w:type="pct"/>
            <w:shd w:val="clear" w:color="auto" w:fill="76923C" w:themeFill="accent3" w:themeFillShade="BF"/>
            <w:vAlign w:val="center"/>
            <w:hideMark/>
          </w:tcPr>
          <w:p w:rsidR="006423E9" w:rsidRPr="00D81083" w:rsidRDefault="00B503FB" w:rsidP="006423E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Best Practices Criteria: 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Online Organization &amp; Design</w:t>
            </w:r>
          </w:p>
        </w:tc>
      </w:tr>
      <w:tr w:rsidR="006423E9" w:rsidRPr="009A4DC7" w:rsidTr="000B1669">
        <w:trPr>
          <w:gridAfter w:val="1"/>
          <w:wAfter w:w="5" w:type="dxa"/>
          <w:tblCellSpacing w:w="37" w:type="dxa"/>
        </w:trPr>
        <w:tc>
          <w:tcPr>
            <w:tcW w:w="4929" w:type="pct"/>
            <w:hideMark/>
          </w:tcPr>
          <w:p w:rsidR="006423E9" w:rsidRPr="000B1669" w:rsidRDefault="006423E9" w:rsidP="00231D25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ind w:left="363"/>
              <w:rPr>
                <w:rFonts w:ascii="Calibri" w:hAnsi="Calibri" w:cs="Calibri"/>
                <w:sz w:val="22"/>
                <w:szCs w:val="22"/>
              </w:rPr>
            </w:pPr>
            <w:r w:rsidRPr="000B1669">
              <w:rPr>
                <w:rFonts w:ascii="Calibri" w:hAnsi="Calibri" w:cs="Calibri"/>
                <w:sz w:val="22"/>
                <w:szCs w:val="22"/>
              </w:rPr>
              <w:t xml:space="preserve">Course is well-organized and easy to navigate. </w:t>
            </w:r>
            <w:r w:rsidR="00AD407B" w:rsidRPr="000B1669">
              <w:rPr>
                <w:rFonts w:ascii="Calibri" w:hAnsi="Calibri" w:cs="Calibri"/>
                <w:sz w:val="22"/>
                <w:szCs w:val="22"/>
              </w:rPr>
              <w:t xml:space="preserve">Materials are presented in a consistent and logical structure and layout.  Learners </w:t>
            </w:r>
            <w:r w:rsidRPr="000B1669">
              <w:rPr>
                <w:rFonts w:ascii="Calibri" w:hAnsi="Calibri" w:cs="Calibri"/>
                <w:sz w:val="22"/>
                <w:szCs w:val="22"/>
              </w:rPr>
              <w:t>can clearly understand all components and structure of the course.</w:t>
            </w:r>
            <w:r w:rsidRPr="000B1669">
              <w:rPr>
                <w:rFonts w:ascii="Calibri" w:hAnsi="Calibri" w:cs="Calibri"/>
                <w:sz w:val="22"/>
                <w:szCs w:val="22"/>
              </w:rPr>
              <w:br/>
              <w:t xml:space="preserve">  </w:t>
            </w:r>
          </w:p>
          <w:p w:rsidR="006423E9" w:rsidRPr="000B1669" w:rsidRDefault="006423E9" w:rsidP="00231D25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="00AD407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materials are written in clear and simple language (short sentences, simple grammatical structures). 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  </w:t>
            </w:r>
          </w:p>
          <w:p w:rsidR="006423E9" w:rsidRPr="000B1669" w:rsidRDefault="006423E9" w:rsidP="00231D25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Aesthetic design presents and communicates course </w:t>
            </w:r>
            <w:r w:rsidR="00AD407B" w:rsidRPr="000B1669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clearly.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  </w:t>
            </w:r>
          </w:p>
          <w:p w:rsidR="006423E9" w:rsidRPr="009A4DC7" w:rsidRDefault="006423E9" w:rsidP="00231D25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ind w:left="363"/>
              <w:rPr>
                <w:rFonts w:asciiTheme="minorHAnsi" w:hAnsiTheme="minorHAnsi" w:cstheme="minorHAnsi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All web pages are visually and functionally consistent throughout the course. 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A4DC7">
              <w:rPr>
                <w:rFonts w:asciiTheme="minorHAnsi" w:hAnsiTheme="minorHAnsi" w:cstheme="minorHAnsi"/>
              </w:rPr>
              <w:t xml:space="preserve">  </w:t>
            </w:r>
          </w:p>
          <w:p w:rsidR="006423E9" w:rsidRPr="000B1669" w:rsidRDefault="006423E9" w:rsidP="00375156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Accessibility issues are addressed throughout the course</w:t>
            </w:r>
            <w:r w:rsidR="00AD407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(i.e. alt text for images)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423E9" w:rsidRPr="00E01139" w:rsidTr="000B1669">
        <w:trPr>
          <w:tblCellSpacing w:w="37" w:type="dxa"/>
        </w:trPr>
        <w:tc>
          <w:tcPr>
            <w:tcW w:w="4924" w:type="pct"/>
            <w:gridSpan w:val="2"/>
            <w:shd w:val="clear" w:color="auto" w:fill="76923C" w:themeFill="accent3" w:themeFillShade="BF"/>
            <w:vAlign w:val="center"/>
            <w:hideMark/>
          </w:tcPr>
          <w:p w:rsidR="006423E9" w:rsidRPr="00D81083" w:rsidRDefault="00B503FB" w:rsidP="00E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Best Practices Criteria: 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Assessment &amp; Evaluation of Learning</w:t>
            </w:r>
          </w:p>
        </w:tc>
      </w:tr>
      <w:tr w:rsidR="006423E9" w:rsidRPr="00E01139" w:rsidTr="000B1669">
        <w:trPr>
          <w:tblCellSpacing w:w="37" w:type="dxa"/>
        </w:trPr>
        <w:tc>
          <w:tcPr>
            <w:tcW w:w="4924" w:type="pct"/>
            <w:gridSpan w:val="2"/>
            <w:hideMark/>
          </w:tcPr>
          <w:p w:rsidR="006423E9" w:rsidRPr="000B1669" w:rsidRDefault="006423E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Course </w:t>
            </w:r>
            <w:r w:rsidR="007D6899" w:rsidRPr="000B1669">
              <w:rPr>
                <w:rFonts w:eastAsia="Times New Roman" w:cstheme="minorHAnsi"/>
              </w:rPr>
              <w:t>includes information and/or</w:t>
            </w:r>
            <w:r w:rsidRPr="000B1669">
              <w:rPr>
                <w:rFonts w:eastAsia="Times New Roman" w:cstheme="minorHAnsi"/>
              </w:rPr>
              <w:t xml:space="preserve"> activities to assess </w:t>
            </w:r>
            <w:r w:rsidR="000D1613" w:rsidRPr="000B1669">
              <w:rPr>
                <w:rFonts w:eastAsia="Times New Roman" w:cstheme="minorHAnsi"/>
              </w:rPr>
              <w:t>learner</w:t>
            </w:r>
            <w:r w:rsidRPr="000B1669">
              <w:rPr>
                <w:rFonts w:eastAsia="Times New Roman" w:cstheme="minorHAnsi"/>
              </w:rPr>
              <w:t xml:space="preserve"> readiness for course content and mode of delivery.</w:t>
            </w:r>
            <w:r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7D6899" w:rsidRPr="000B1669" w:rsidRDefault="007D689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240" w:line="240" w:lineRule="auto"/>
              <w:ind w:left="374"/>
              <w:rPr>
                <w:rFonts w:eastAsia="Times New Roman" w:cstheme="minorHAnsi"/>
              </w:rPr>
            </w:pPr>
            <w:r w:rsidRPr="000B1669">
              <w:t xml:space="preserve">The course grading and assignment policy is clearly stated, specific criteria are provided for the evaluation of </w:t>
            </w:r>
            <w:r w:rsidR="000D1613" w:rsidRPr="000B1669">
              <w:t>learners’</w:t>
            </w:r>
            <w:r w:rsidRPr="000B1669">
              <w:t xml:space="preserve"> work and participation (i.e. rubrics) and clear instructions on how to submit assignment are provided.</w:t>
            </w:r>
          </w:p>
          <w:p w:rsidR="006423E9" w:rsidRPr="000B1669" w:rsidRDefault="006423E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>Learning objectives, instructional and assessment activities are closely aligned.</w:t>
            </w:r>
            <w:r w:rsidRPr="000B1669">
              <w:rPr>
                <w:rFonts w:eastAsia="Times New Roman" w:cstheme="minorHAnsi"/>
              </w:rPr>
              <w:br/>
            </w:r>
          </w:p>
          <w:p w:rsidR="006423E9" w:rsidRPr="000B1669" w:rsidRDefault="007D689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A variety of </w:t>
            </w:r>
            <w:r w:rsidR="006423E9" w:rsidRPr="000B1669">
              <w:rPr>
                <w:rFonts w:eastAsia="Times New Roman" w:cstheme="minorHAnsi"/>
              </w:rPr>
              <w:t>strategies are used to measure content knowledge, attitudes and skills</w:t>
            </w:r>
            <w:r w:rsidRPr="000B1669">
              <w:rPr>
                <w:rFonts w:eastAsia="Times New Roman" w:cstheme="minorHAnsi"/>
              </w:rPr>
              <w:t xml:space="preserve"> on an ongoing basis throughout the course</w:t>
            </w:r>
            <w:r w:rsidR="006423E9" w:rsidRPr="000B1669">
              <w:rPr>
                <w:rFonts w:eastAsia="Times New Roman" w:cstheme="minorHAnsi"/>
              </w:rPr>
              <w:t>.</w:t>
            </w:r>
            <w:r w:rsidR="006423E9"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6423E9" w:rsidRPr="000B1669" w:rsidRDefault="006423E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Regular feedback about </w:t>
            </w:r>
            <w:r w:rsidR="007D6899" w:rsidRPr="000B1669">
              <w:rPr>
                <w:rFonts w:eastAsia="Times New Roman" w:cstheme="minorHAnsi"/>
              </w:rPr>
              <w:t>learner</w:t>
            </w:r>
            <w:r w:rsidRPr="000B1669">
              <w:rPr>
                <w:rFonts w:eastAsia="Times New Roman" w:cstheme="minorHAnsi"/>
              </w:rPr>
              <w:t xml:space="preserve"> performance is provided in a timely manner throughout the course.</w:t>
            </w:r>
            <w:r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6423E9" w:rsidRPr="00E01139" w:rsidRDefault="007D6899" w:rsidP="00375156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after="0" w:line="240" w:lineRule="auto"/>
              <w:ind w:left="374"/>
              <w:rPr>
                <w:rFonts w:eastAsia="Times New Roman" w:cstheme="minorHAnsi"/>
                <w:sz w:val="24"/>
                <w:szCs w:val="24"/>
              </w:rPr>
            </w:pPr>
            <w:r w:rsidRPr="000B1669">
              <w:rPr>
                <w:rFonts w:eastAsia="Times New Roman" w:cstheme="minorHAnsi"/>
              </w:rPr>
              <w:t xml:space="preserve">Course includes </w:t>
            </w:r>
            <w:r w:rsidR="006423E9" w:rsidRPr="000B1669">
              <w:rPr>
                <w:rFonts w:eastAsia="Times New Roman" w:cstheme="minorHAnsi"/>
              </w:rPr>
              <w:t xml:space="preserve">self-assessments </w:t>
            </w:r>
            <w:r w:rsidRPr="000B1669">
              <w:rPr>
                <w:rFonts w:eastAsia="Times New Roman" w:cstheme="minorHAnsi"/>
              </w:rPr>
              <w:t xml:space="preserve">with appropriate feedback </w:t>
            </w:r>
            <w:r w:rsidR="006423E9" w:rsidRPr="000B1669">
              <w:rPr>
                <w:rFonts w:eastAsia="Times New Roman" w:cstheme="minorHAnsi"/>
              </w:rPr>
              <w:t xml:space="preserve">and/or </w:t>
            </w:r>
            <w:r w:rsidRPr="000B1669">
              <w:rPr>
                <w:rFonts w:eastAsia="Times New Roman" w:cstheme="minorHAnsi"/>
              </w:rPr>
              <w:t xml:space="preserve">opportunities for </w:t>
            </w:r>
            <w:r w:rsidR="006423E9" w:rsidRPr="000B1669">
              <w:rPr>
                <w:rFonts w:eastAsia="Times New Roman" w:cstheme="minorHAnsi"/>
              </w:rPr>
              <w:t>peer feedback</w:t>
            </w:r>
            <w:r w:rsidRPr="000B1669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423E9" w:rsidRPr="00E011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:rsidR="008A2BCD" w:rsidRDefault="00E01139" w:rsidP="00E0113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E01139">
        <w:rPr>
          <w:rFonts w:eastAsia="Times New Roman" w:cstheme="minorHAnsi"/>
          <w:b/>
          <w:bCs/>
          <w:sz w:val="36"/>
          <w:szCs w:val="36"/>
        </w:rPr>
        <w:t> </w:t>
      </w:r>
    </w:p>
    <w:tbl>
      <w:tblPr>
        <w:tblW w:w="5000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48"/>
      </w:tblGrid>
      <w:tr w:rsidR="00A7305B" w:rsidRPr="009A4DC7" w:rsidTr="000B1669">
        <w:trPr>
          <w:trHeight w:val="379"/>
          <w:tblCellSpacing w:w="37" w:type="dxa"/>
        </w:trPr>
        <w:tc>
          <w:tcPr>
            <w:tcW w:w="4924" w:type="pct"/>
            <w:shd w:val="clear" w:color="auto" w:fill="76923C" w:themeFill="accent3" w:themeFillShade="BF"/>
            <w:vAlign w:val="center"/>
            <w:hideMark/>
          </w:tcPr>
          <w:p w:rsidR="00A7305B" w:rsidRPr="00D81083" w:rsidRDefault="007D6899" w:rsidP="000D16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Best Practices Criteria: 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 w:rsidR="000D161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Learner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Feedback</w:t>
            </w:r>
          </w:p>
        </w:tc>
      </w:tr>
      <w:tr w:rsidR="00A7305B" w:rsidRPr="009A4DC7" w:rsidTr="000B1669">
        <w:trPr>
          <w:tblCellSpacing w:w="37" w:type="dxa"/>
        </w:trPr>
        <w:tc>
          <w:tcPr>
            <w:tcW w:w="4924" w:type="pct"/>
            <w:vAlign w:val="center"/>
            <w:hideMark/>
          </w:tcPr>
          <w:p w:rsidR="00A7305B" w:rsidRPr="000B1669" w:rsidRDefault="00375156" w:rsidP="00375156">
            <w:pPr>
              <w:pStyle w:val="NormalWeb"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Course includes standard surveys (i.e. online questionnaires) 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learners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feedback on course content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, structure and presentation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, as well as ease of technology used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    </w:t>
            </w:r>
          </w:p>
          <w:p w:rsidR="00A7305B" w:rsidRPr="009A4DC7" w:rsidRDefault="00A7305B" w:rsidP="000D1613">
            <w:pPr>
              <w:pStyle w:val="NormalWeb"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342"/>
              <w:rPr>
                <w:rFonts w:asciiTheme="minorHAnsi" w:hAnsiTheme="minorHAnsi" w:cstheme="minorHAnsi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Instructor requests and uses 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learner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feedback a couple times during the semester to help 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adjust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instruction and assessment of learning for the rest of the semester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as needed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A4DC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E01139" w:rsidRPr="00426C37" w:rsidRDefault="00E01139" w:rsidP="0097043B"/>
    <w:sectPr w:rsidR="00E01139" w:rsidRPr="00426C37" w:rsidSect="00426C37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82" w:rsidRDefault="007B3B82" w:rsidP="00426C37">
      <w:pPr>
        <w:spacing w:after="0" w:line="240" w:lineRule="auto"/>
      </w:pPr>
      <w:r>
        <w:separator/>
      </w:r>
    </w:p>
  </w:endnote>
  <w:endnote w:type="continuationSeparator" w:id="0">
    <w:p w:rsidR="007B3B82" w:rsidRDefault="007B3B82" w:rsidP="004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B8" w:rsidRDefault="008324B8" w:rsidP="004A20D5">
    <w:pPr>
      <w:pStyle w:val="Footer"/>
      <w:pBdr>
        <w:top w:val="single" w:sz="8" w:space="1" w:color="76923C" w:themeColor="accent3" w:themeShade="BF"/>
      </w:pBdr>
      <w:rPr>
        <w:rFonts w:cstheme="minorHAnsi"/>
        <w:i/>
        <w:sz w:val="18"/>
        <w:szCs w:val="18"/>
      </w:rPr>
    </w:pPr>
    <w:r w:rsidRPr="008324B8">
      <w:rPr>
        <w:b/>
        <w:i/>
        <w:color w:val="76923C" w:themeColor="accent3" w:themeShade="BF"/>
        <w:sz w:val="18"/>
        <w:szCs w:val="18"/>
      </w:rPr>
      <w:t>Attribution:</w:t>
    </w:r>
    <w:r w:rsidRPr="008324B8">
      <w:rPr>
        <w:i/>
        <w:color w:val="76923C" w:themeColor="accent3" w:themeShade="BF"/>
        <w:sz w:val="18"/>
        <w:szCs w:val="18"/>
      </w:rPr>
      <w:t xml:space="preserve">   </w:t>
    </w:r>
    <w:r w:rsidRPr="008324B8">
      <w:rPr>
        <w:rFonts w:cstheme="minorHAnsi"/>
        <w:i/>
        <w:sz w:val="18"/>
        <w:szCs w:val="18"/>
      </w:rPr>
      <w:t xml:space="preserve">These best practices were adapted from the rubric </w:t>
    </w:r>
  </w:p>
  <w:p w:rsidR="008324B8" w:rsidRDefault="008324B8" w:rsidP="008324B8">
    <w:pPr>
      <w:pStyle w:val="Footer"/>
      <w:rPr>
        <w:rFonts w:asciiTheme="majorHAnsi" w:eastAsiaTheme="majorEastAsia" w:hAnsiTheme="majorHAnsi" w:cstheme="majorBidi"/>
      </w:rPr>
    </w:pPr>
    <w:r w:rsidRPr="008324B8">
      <w:rPr>
        <w:rFonts w:cstheme="minorHAnsi"/>
        <w:i/>
        <w:sz w:val="18"/>
        <w:szCs w:val="18"/>
      </w:rPr>
      <w:t xml:space="preserve">released by </w:t>
    </w:r>
    <w:hyperlink r:id="rId1" w:history="1">
      <w:r w:rsidRPr="008324B8">
        <w:rPr>
          <w:rStyle w:val="Hyperlink"/>
          <w:rFonts w:cstheme="minorHAnsi"/>
          <w:i/>
          <w:sz w:val="18"/>
          <w:szCs w:val="18"/>
        </w:rPr>
        <w:t>California State University</w:t>
      </w:r>
    </w:hyperlink>
    <w:r w:rsidRPr="008324B8">
      <w:rPr>
        <w:rFonts w:cstheme="minorHAnsi"/>
        <w:i/>
        <w:sz w:val="18"/>
        <w:szCs w:val="18"/>
      </w:rPr>
      <w:t xml:space="preserve"> under a CC by license. </w:t>
    </w:r>
    <w:r w:rsidRPr="004A20D5">
      <w:rPr>
        <w:rFonts w:eastAsiaTheme="majorEastAsia" w:cstheme="minorHAnsi"/>
      </w:rPr>
      <w:ptab w:relativeTo="margin" w:alignment="right" w:leader="none"/>
    </w:r>
    <w:r w:rsidRPr="004A20D5">
      <w:rPr>
        <w:rFonts w:eastAsiaTheme="majorEastAsia" w:cstheme="minorHAnsi"/>
      </w:rPr>
      <w:t xml:space="preserve">Page </w:t>
    </w:r>
    <w:r w:rsidRPr="004A20D5">
      <w:rPr>
        <w:rFonts w:eastAsiaTheme="minorEastAsia" w:cstheme="minorHAnsi"/>
      </w:rPr>
      <w:fldChar w:fldCharType="begin"/>
    </w:r>
    <w:r w:rsidRPr="004A20D5">
      <w:rPr>
        <w:rFonts w:cstheme="minorHAnsi"/>
      </w:rPr>
      <w:instrText xml:space="preserve"> PAGE   \* MERGEFORMAT </w:instrText>
    </w:r>
    <w:r w:rsidRPr="004A20D5">
      <w:rPr>
        <w:rFonts w:eastAsiaTheme="minorEastAsia" w:cstheme="minorHAnsi"/>
      </w:rPr>
      <w:fldChar w:fldCharType="separate"/>
    </w:r>
    <w:r w:rsidR="00824016" w:rsidRPr="00824016">
      <w:rPr>
        <w:rFonts w:eastAsiaTheme="majorEastAsia" w:cstheme="minorHAnsi"/>
        <w:noProof/>
      </w:rPr>
      <w:t>1</w:t>
    </w:r>
    <w:r w:rsidRPr="004A20D5">
      <w:rPr>
        <w:rFonts w:eastAsiaTheme="majorEastAsia" w:cstheme="minorHAnsi"/>
        <w:noProof/>
      </w:rPr>
      <w:fldChar w:fldCharType="end"/>
    </w:r>
  </w:p>
  <w:p w:rsidR="00426C37" w:rsidRDefault="00426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82" w:rsidRDefault="007B3B82" w:rsidP="00426C37">
      <w:pPr>
        <w:spacing w:after="0" w:line="240" w:lineRule="auto"/>
      </w:pPr>
      <w:r>
        <w:separator/>
      </w:r>
    </w:p>
  </w:footnote>
  <w:footnote w:type="continuationSeparator" w:id="0">
    <w:p w:rsidR="007B3B82" w:rsidRDefault="007B3B82" w:rsidP="004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69" w:rsidRPr="000B1669" w:rsidRDefault="000B1669" w:rsidP="000B1669">
    <w:pPr>
      <w:pBdr>
        <w:bottom w:val="single" w:sz="12" w:space="1" w:color="76923C" w:themeColor="accent3" w:themeShade="BF"/>
      </w:pBdr>
      <w:spacing w:before="100" w:beforeAutospacing="1" w:after="100" w:afterAutospacing="1" w:line="240" w:lineRule="auto"/>
      <w:outlineLvl w:val="1"/>
      <w:rPr>
        <w:rFonts w:eastAsia="Times New Roman" w:cstheme="minorHAnsi"/>
        <w:b/>
        <w:bCs/>
        <w:color w:val="31849B" w:themeColor="accent5" w:themeShade="BF"/>
        <w:sz w:val="36"/>
        <w:szCs w:val="36"/>
      </w:rPr>
    </w:pPr>
    <w:r>
      <w:rPr>
        <w:rFonts w:ascii="Times New Roman" w:eastAsia="Times New Roman" w:hAnsi="Times New Roman" w:cs="Times New Roman"/>
        <w:b/>
        <w:bCs/>
        <w:noProof/>
        <w:sz w:val="36"/>
        <w:szCs w:val="36"/>
      </w:rPr>
      <w:drawing>
        <wp:inline distT="0" distB="0" distL="0" distR="0" wp14:anchorId="3039DCB1" wp14:editId="36D4465F">
          <wp:extent cx="3820058" cy="50489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058" cy="50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</w:p>
  <w:p w:rsidR="000B1669" w:rsidRDefault="000B1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E45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52B64"/>
    <w:multiLevelType w:val="multilevel"/>
    <w:tmpl w:val="D13EBE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1CBC"/>
    <w:multiLevelType w:val="multilevel"/>
    <w:tmpl w:val="30AA7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C66F1"/>
    <w:multiLevelType w:val="multilevel"/>
    <w:tmpl w:val="EE9EB8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A0492"/>
    <w:multiLevelType w:val="hybridMultilevel"/>
    <w:tmpl w:val="E7646C42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547D2"/>
    <w:multiLevelType w:val="multilevel"/>
    <w:tmpl w:val="EFD08F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C6A80"/>
    <w:multiLevelType w:val="multilevel"/>
    <w:tmpl w:val="FACE73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015A1"/>
    <w:multiLevelType w:val="multilevel"/>
    <w:tmpl w:val="C9BCD6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95165"/>
    <w:multiLevelType w:val="multilevel"/>
    <w:tmpl w:val="BBD681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36C9B"/>
    <w:multiLevelType w:val="multilevel"/>
    <w:tmpl w:val="86BEA4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50D85"/>
    <w:multiLevelType w:val="multilevel"/>
    <w:tmpl w:val="C0EA6E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152FB"/>
    <w:multiLevelType w:val="multilevel"/>
    <w:tmpl w:val="80BE61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04381"/>
    <w:multiLevelType w:val="multilevel"/>
    <w:tmpl w:val="F2AC76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82B26"/>
    <w:multiLevelType w:val="multilevel"/>
    <w:tmpl w:val="368273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5728F"/>
    <w:multiLevelType w:val="multilevel"/>
    <w:tmpl w:val="474E03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31796"/>
    <w:multiLevelType w:val="multilevel"/>
    <w:tmpl w:val="F89C00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806DA"/>
    <w:multiLevelType w:val="multilevel"/>
    <w:tmpl w:val="373EB4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3495B"/>
    <w:multiLevelType w:val="hybridMultilevel"/>
    <w:tmpl w:val="E67E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17BBE"/>
    <w:multiLevelType w:val="hybridMultilevel"/>
    <w:tmpl w:val="41ACADA4"/>
    <w:lvl w:ilvl="0" w:tplc="1ABAC3F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9BBB59" w:themeColor="accent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249BF"/>
    <w:multiLevelType w:val="multilevel"/>
    <w:tmpl w:val="B33EE7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77E11"/>
    <w:multiLevelType w:val="multilevel"/>
    <w:tmpl w:val="680617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A24D3"/>
    <w:multiLevelType w:val="multilevel"/>
    <w:tmpl w:val="D3248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20"/>
  </w:num>
  <w:num w:numId="14">
    <w:abstractNumId w:val="19"/>
  </w:num>
  <w:num w:numId="15">
    <w:abstractNumId w:val="13"/>
  </w:num>
  <w:num w:numId="16">
    <w:abstractNumId w:val="21"/>
  </w:num>
  <w:num w:numId="17">
    <w:abstractNumId w:val="2"/>
  </w:num>
  <w:num w:numId="18">
    <w:abstractNumId w:val="9"/>
  </w:num>
  <w:num w:numId="19">
    <w:abstractNumId w:val="17"/>
  </w:num>
  <w:num w:numId="20">
    <w:abstractNumId w:val="18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39"/>
    <w:rsid w:val="00006723"/>
    <w:rsid w:val="0006075F"/>
    <w:rsid w:val="000B1669"/>
    <w:rsid w:val="000D1613"/>
    <w:rsid w:val="0019542C"/>
    <w:rsid w:val="001E077D"/>
    <w:rsid w:val="00231D25"/>
    <w:rsid w:val="002325CD"/>
    <w:rsid w:val="00244F77"/>
    <w:rsid w:val="00256F8F"/>
    <w:rsid w:val="002A5BBC"/>
    <w:rsid w:val="002D5052"/>
    <w:rsid w:val="002D59C5"/>
    <w:rsid w:val="003247DE"/>
    <w:rsid w:val="00375156"/>
    <w:rsid w:val="00376F3B"/>
    <w:rsid w:val="003F4FED"/>
    <w:rsid w:val="00426C37"/>
    <w:rsid w:val="00430782"/>
    <w:rsid w:val="00497DD1"/>
    <w:rsid w:val="004A20D5"/>
    <w:rsid w:val="004C01DD"/>
    <w:rsid w:val="004D6B9A"/>
    <w:rsid w:val="006423E9"/>
    <w:rsid w:val="006878F0"/>
    <w:rsid w:val="007034A1"/>
    <w:rsid w:val="007275EE"/>
    <w:rsid w:val="00787792"/>
    <w:rsid w:val="007B3B82"/>
    <w:rsid w:val="007B7AE7"/>
    <w:rsid w:val="007D6755"/>
    <w:rsid w:val="007D6899"/>
    <w:rsid w:val="00824016"/>
    <w:rsid w:val="008324B8"/>
    <w:rsid w:val="00835187"/>
    <w:rsid w:val="00835335"/>
    <w:rsid w:val="008A2BCD"/>
    <w:rsid w:val="008B5F75"/>
    <w:rsid w:val="008C24B2"/>
    <w:rsid w:val="008C313B"/>
    <w:rsid w:val="00930FD2"/>
    <w:rsid w:val="0097043B"/>
    <w:rsid w:val="00975EEF"/>
    <w:rsid w:val="0098177C"/>
    <w:rsid w:val="009A4DC7"/>
    <w:rsid w:val="009C4281"/>
    <w:rsid w:val="009F053C"/>
    <w:rsid w:val="00A40DFD"/>
    <w:rsid w:val="00A7305B"/>
    <w:rsid w:val="00AD407B"/>
    <w:rsid w:val="00B3312C"/>
    <w:rsid w:val="00B503FB"/>
    <w:rsid w:val="00B652C8"/>
    <w:rsid w:val="00B850B6"/>
    <w:rsid w:val="00BD2ACA"/>
    <w:rsid w:val="00C17A61"/>
    <w:rsid w:val="00C64DEF"/>
    <w:rsid w:val="00CD0076"/>
    <w:rsid w:val="00D21F07"/>
    <w:rsid w:val="00D555CA"/>
    <w:rsid w:val="00D81083"/>
    <w:rsid w:val="00D9572C"/>
    <w:rsid w:val="00E01139"/>
    <w:rsid w:val="00E32A92"/>
    <w:rsid w:val="00ED3BA2"/>
    <w:rsid w:val="00F65F6A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01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1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E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1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37"/>
  </w:style>
  <w:style w:type="paragraph" w:styleId="Footer">
    <w:name w:val="footer"/>
    <w:basedOn w:val="Normal"/>
    <w:link w:val="FooterChar"/>
    <w:uiPriority w:val="99"/>
    <w:unhideWhenUsed/>
    <w:rsid w:val="004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37"/>
  </w:style>
  <w:style w:type="character" w:styleId="Hyperlink">
    <w:name w:val="Hyperlink"/>
    <w:basedOn w:val="DefaultParagraphFont"/>
    <w:uiPriority w:val="99"/>
    <w:unhideWhenUsed/>
    <w:rsid w:val="009704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1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42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D407B"/>
    <w:pPr>
      <w:numPr>
        <w:numId w:val="2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01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1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E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1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37"/>
  </w:style>
  <w:style w:type="paragraph" w:styleId="Footer">
    <w:name w:val="footer"/>
    <w:basedOn w:val="Normal"/>
    <w:link w:val="FooterChar"/>
    <w:uiPriority w:val="99"/>
    <w:unhideWhenUsed/>
    <w:rsid w:val="004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37"/>
  </w:style>
  <w:style w:type="character" w:styleId="Hyperlink">
    <w:name w:val="Hyperlink"/>
    <w:basedOn w:val="DefaultParagraphFont"/>
    <w:uiPriority w:val="99"/>
    <w:unhideWhenUsed/>
    <w:rsid w:val="009704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1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42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D407B"/>
    <w:pPr>
      <w:numPr>
        <w:numId w:val="2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chico.edu/celt/roi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A614-F8AE-4692-98FB-A27A962A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2013-01-30T15:01:00Z</dcterms:created>
  <dcterms:modified xsi:type="dcterms:W3CDTF">2013-01-30T15:01:00Z</dcterms:modified>
</cp:coreProperties>
</file>